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仿宋" w:hAnsi="仿宋" w:eastAsia="仿宋" w:cs="仿宋"/>
          <w:b/>
          <w:bCs/>
          <w:color w:val="000000" w:themeColor="text1"/>
          <w:sz w:val="32"/>
          <w:szCs w:val="32"/>
          <w14:textFill>
            <w14:solidFill>
              <w14:schemeClr w14:val="tx1"/>
            </w14:solidFill>
          </w14:textFill>
        </w:rPr>
      </w:pPr>
      <w:r>
        <w:rPr>
          <w:rFonts w:hint="eastAsia" w:ascii="仿宋" w:hAnsi="仿宋" w:eastAsia="仿宋" w:cs="仿宋"/>
          <w:b/>
          <w:bCs/>
          <w:color w:val="000000" w:themeColor="text1"/>
          <w:sz w:val="32"/>
          <w:szCs w:val="32"/>
          <w:lang w:eastAsia="zh-CN"/>
          <w14:textFill>
            <w14:solidFill>
              <w14:schemeClr w14:val="tx1"/>
            </w14:solidFill>
          </w14:textFill>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hint="eastAsia" w:ascii="仿宋" w:hAnsi="仿宋" w:eastAsia="仿宋" w:cs="仿宋"/>
          <w:b/>
          <w:bCs/>
          <w:color w:val="000000" w:themeColor="text1"/>
          <w:sz w:val="32"/>
          <w:szCs w:val="32"/>
          <w:lang w:eastAsia="zh-CN"/>
          <w14:textFill>
            <w14:solidFill>
              <w14:schemeClr w14:val="tx1"/>
            </w14:solidFill>
          </w14:textFill>
        </w:rPr>
        <w:instrText xml:space="preserve">ADDIN CNKISM.UserStyle</w:instrText>
      </w:r>
      <w:r>
        <w:rPr>
          <w:rFonts w:hint="eastAsia" w:ascii="仿宋" w:hAnsi="仿宋" w:eastAsia="仿宋" w:cs="仿宋"/>
          <w:b/>
          <w:bCs/>
          <w:color w:val="000000" w:themeColor="text1"/>
          <w:sz w:val="32"/>
          <w:szCs w:val="32"/>
          <w:lang w:eastAsia="zh-CN"/>
          <w14:textFill>
            <w14:solidFill>
              <w14:schemeClr w14:val="tx1"/>
            </w14:solidFill>
          </w14:textFill>
        </w:rPr>
        <w:fldChar w:fldCharType="separate"/>
      </w:r>
      <w:r>
        <w:rPr>
          <w:rFonts w:hint="eastAsia" w:ascii="仿宋" w:hAnsi="仿宋" w:eastAsia="仿宋" w:cs="仿宋"/>
          <w:b/>
          <w:bCs/>
          <w:color w:val="000000" w:themeColor="text1"/>
          <w:sz w:val="32"/>
          <w:szCs w:val="32"/>
          <w:lang w:eastAsia="zh-CN"/>
          <w14:textFill>
            <w14:solidFill>
              <w14:schemeClr w14:val="tx1"/>
            </w14:solidFill>
          </w14:textFill>
        </w:rPr>
        <w:fldChar w:fldCharType="end"/>
      </w:r>
      <w:r>
        <w:rPr>
          <w:rFonts w:hint="eastAsia" w:ascii="仿宋" w:hAnsi="仿宋" w:eastAsia="仿宋" w:cs="仿宋"/>
          <w:b/>
          <w:bCs/>
          <w:color w:val="000000" w:themeColor="text1"/>
          <w:sz w:val="32"/>
          <w:szCs w:val="32"/>
          <w:lang w:eastAsia="zh-CN"/>
          <w14:textFill>
            <w14:solidFill>
              <w14:schemeClr w14:val="tx1"/>
            </w14:solidFill>
          </w14:textFill>
        </w:rPr>
        <w:t>海</w:t>
      </w:r>
      <w:r>
        <w:rPr>
          <w:rFonts w:hint="eastAsia" w:ascii="仿宋" w:hAnsi="仿宋" w:eastAsia="仿宋" w:cs="仿宋"/>
          <w:b/>
          <w:bCs/>
          <w:color w:val="000000" w:themeColor="text1"/>
          <w:sz w:val="32"/>
          <w:szCs w:val="32"/>
          <w14:textFill>
            <w14:solidFill>
              <w14:schemeClr w14:val="tx1"/>
            </w14:solidFill>
          </w14:textFill>
        </w:rPr>
        <w:t>南师范大学</w:t>
      </w:r>
      <w:r>
        <w:rPr>
          <w:rFonts w:hint="eastAsia" w:ascii="仿宋" w:hAnsi="仿宋" w:eastAsia="仿宋" w:cs="仿宋"/>
          <w:b/>
          <w:bCs/>
          <w:color w:val="000000" w:themeColor="text1"/>
          <w:sz w:val="32"/>
          <w:szCs w:val="32"/>
          <w:lang w:eastAsia="zh-CN"/>
          <w14:textFill>
            <w14:solidFill>
              <w14:schemeClr w14:val="tx1"/>
            </w14:solidFill>
          </w14:textFill>
        </w:rPr>
        <w:t>全国</w:t>
      </w:r>
      <w:r>
        <w:rPr>
          <w:rFonts w:hint="eastAsia" w:ascii="仿宋" w:hAnsi="仿宋" w:eastAsia="仿宋" w:cs="仿宋"/>
          <w:b/>
          <w:bCs/>
          <w:color w:val="000000" w:themeColor="text1"/>
          <w:sz w:val="32"/>
          <w:szCs w:val="32"/>
          <w14:textFill>
            <w14:solidFill>
              <w14:schemeClr w14:val="tx1"/>
            </w14:solidFill>
          </w14:textFill>
        </w:rPr>
        <w:t>硕士研究生</w:t>
      </w:r>
      <w:r>
        <w:rPr>
          <w:rFonts w:hint="eastAsia" w:ascii="仿宋" w:hAnsi="仿宋" w:eastAsia="仿宋" w:cs="仿宋"/>
          <w:b/>
          <w:bCs/>
          <w:color w:val="000000" w:themeColor="text1"/>
          <w:sz w:val="32"/>
          <w:szCs w:val="32"/>
          <w:lang w:eastAsia="zh-CN"/>
          <w14:textFill>
            <w14:solidFill>
              <w14:schemeClr w14:val="tx1"/>
            </w14:solidFill>
          </w14:textFill>
        </w:rPr>
        <w:t>招生</w:t>
      </w:r>
      <w:r>
        <w:rPr>
          <w:rFonts w:hint="eastAsia" w:ascii="仿宋" w:hAnsi="仿宋" w:eastAsia="仿宋" w:cs="仿宋"/>
          <w:b/>
          <w:bCs/>
          <w:color w:val="000000" w:themeColor="text1"/>
          <w:sz w:val="32"/>
          <w:szCs w:val="32"/>
          <w14:textFill>
            <w14:solidFill>
              <w14:schemeClr w14:val="tx1"/>
            </w14:solidFill>
          </w14:textFill>
        </w:rPr>
        <w:t>自命题考试大纲</w:t>
      </w:r>
    </w:p>
    <w:p>
      <w:pPr>
        <w:spacing w:line="360" w:lineRule="auto"/>
        <w:jc w:val="center"/>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考试科目代码：[</w:t>
      </w:r>
      <w:r>
        <w:rPr>
          <w:rFonts w:hint="eastAsia" w:ascii="仿宋" w:hAnsi="仿宋" w:eastAsia="仿宋" w:cs="仿宋"/>
          <w:color w:val="FF0000"/>
          <w:sz w:val="28"/>
          <w:szCs w:val="28"/>
          <w:highlight w:val="none"/>
          <w:lang w:val="en-US" w:eastAsia="zh-CN"/>
        </w:rPr>
        <w:t xml:space="preserve">  </w:t>
      </w:r>
      <w:r>
        <w:rPr>
          <w:rFonts w:hint="eastAsia" w:ascii="仿宋" w:hAnsi="仿宋" w:eastAsia="仿宋" w:cs="仿宋"/>
          <w:color w:val="auto"/>
          <w:sz w:val="28"/>
          <w:szCs w:val="28"/>
        </w:rPr>
        <w:t>]</w:t>
      </w:r>
      <w:r>
        <w:rPr>
          <w:rFonts w:hint="eastAsia" w:ascii="仿宋" w:hAnsi="仿宋" w:eastAsia="仿宋" w:cs="仿宋"/>
          <w:color w:val="000000" w:themeColor="text1"/>
          <w:sz w:val="28"/>
          <w:szCs w:val="28"/>
          <w14:textFill>
            <w14:solidFill>
              <w14:schemeClr w14:val="tx1"/>
            </w14:solidFill>
          </w14:textFill>
        </w:rPr>
        <w:t xml:space="preserve">              考试科目名称：</w:t>
      </w:r>
      <w:r>
        <w:rPr>
          <w:rFonts w:hint="eastAsia" w:ascii="仿宋" w:hAnsi="仿宋" w:eastAsia="仿宋" w:cs="仿宋"/>
          <w:color w:val="000000" w:themeColor="text1"/>
          <w:kern w:val="0"/>
          <w:sz w:val="28"/>
          <w:szCs w:val="28"/>
          <w:lang w:val="en-US" w:eastAsia="zh-CN" w:bidi="hi-IN"/>
          <w14:textFill>
            <w14:solidFill>
              <w14:schemeClr w14:val="tx1"/>
            </w14:solidFill>
          </w14:textFill>
        </w:rPr>
        <w:t>药学综合</w:t>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sz w:val="28"/>
          <w:szCs w:val="28"/>
        </w:rPr>
      </w:pPr>
      <w:r>
        <w:rPr>
          <w:rFonts w:ascii="宋体" w:hAnsi="宋体"/>
          <w:szCs w:val="21"/>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一、考试形式与试卷结构</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（一）</w:t>
      </w:r>
      <w:r>
        <w:rPr>
          <w:rFonts w:hint="eastAsia" w:ascii="仿宋" w:hAnsi="仿宋" w:eastAsia="仿宋" w:cs="仿宋"/>
          <w:sz w:val="28"/>
          <w:szCs w:val="28"/>
        </w:rPr>
        <w:t>试卷成绩及考试时间</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本试卷满分为1</w:t>
      </w:r>
      <w:r>
        <w:rPr>
          <w:rFonts w:hint="eastAsia" w:ascii="仿宋" w:hAnsi="仿宋" w:eastAsia="仿宋" w:cs="仿宋"/>
          <w:sz w:val="28"/>
          <w:szCs w:val="28"/>
          <w:lang w:val="en-US" w:eastAsia="zh-CN"/>
        </w:rPr>
        <w:t>0</w:t>
      </w:r>
      <w:r>
        <w:rPr>
          <w:rFonts w:hint="eastAsia" w:ascii="仿宋" w:hAnsi="仿宋" w:eastAsia="仿宋" w:cs="仿宋"/>
          <w:sz w:val="28"/>
          <w:szCs w:val="28"/>
        </w:rPr>
        <w:t>0分，考试时间为1</w:t>
      </w:r>
      <w:r>
        <w:rPr>
          <w:rFonts w:hint="eastAsia" w:ascii="仿宋" w:hAnsi="仿宋" w:eastAsia="仿宋" w:cs="仿宋"/>
          <w:sz w:val="28"/>
          <w:szCs w:val="28"/>
          <w:lang w:val="en-US" w:eastAsia="zh-CN"/>
        </w:rPr>
        <w:t>2</w:t>
      </w:r>
      <w:r>
        <w:rPr>
          <w:rFonts w:hint="eastAsia" w:ascii="仿宋" w:hAnsi="仿宋" w:eastAsia="仿宋" w:cs="仿宋"/>
          <w:sz w:val="28"/>
          <w:szCs w:val="28"/>
        </w:rPr>
        <w:t>0分钟。</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（二）</w:t>
      </w:r>
      <w:r>
        <w:rPr>
          <w:rFonts w:hint="eastAsia" w:ascii="仿宋" w:hAnsi="仿宋" w:eastAsia="仿宋" w:cs="仿宋"/>
          <w:sz w:val="28"/>
          <w:szCs w:val="28"/>
        </w:rPr>
        <w:t>答题方式</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答题方式为闭卷、笔试。</w:t>
      </w:r>
      <w:bookmarkStart w:id="0" w:name="_GoBack"/>
      <w:bookmarkEnd w:id="0"/>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（三）试卷结构</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名词解释题</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选择题；填空题；</w:t>
      </w:r>
      <w:r>
        <w:rPr>
          <w:rFonts w:hint="eastAsia" w:ascii="仿宋" w:hAnsi="仿宋" w:eastAsia="仿宋" w:cs="仿宋"/>
          <w:sz w:val="28"/>
          <w:szCs w:val="28"/>
        </w:rPr>
        <w:t>简答题</w:t>
      </w:r>
      <w:r>
        <w:rPr>
          <w:rFonts w:hint="eastAsia" w:ascii="仿宋" w:hAnsi="仿宋" w:eastAsia="仿宋" w:cs="仿宋"/>
          <w:sz w:val="28"/>
          <w:szCs w:val="28"/>
          <w:lang w:eastAsia="zh-CN"/>
        </w:rPr>
        <w:t>；</w:t>
      </w:r>
      <w:r>
        <w:rPr>
          <w:rFonts w:hint="eastAsia" w:ascii="仿宋" w:hAnsi="仿宋" w:eastAsia="仿宋" w:cs="仿宋"/>
          <w:sz w:val="28"/>
          <w:szCs w:val="28"/>
        </w:rPr>
        <w:t>分析论述题</w:t>
      </w:r>
      <w:r>
        <w:rPr>
          <w:rFonts w:hint="eastAsia" w:ascii="仿宋" w:hAnsi="仿宋" w:eastAsia="仿宋" w:cs="仿宋"/>
          <w:sz w:val="28"/>
          <w:szCs w:val="28"/>
          <w:lang w:eastAsia="zh-CN"/>
        </w:rPr>
        <w:t>等</w:t>
      </w:r>
      <w:r>
        <w:rPr>
          <w:rFonts w:hint="eastAsia" w:ascii="仿宋" w:hAnsi="仿宋" w:eastAsia="仿宋" w:cs="仿宋"/>
          <w:sz w:val="28"/>
          <w:szCs w:val="28"/>
          <w:lang w:val="en-US" w:eastAsia="zh-CN"/>
        </w:rPr>
        <w:t xml:space="preserve"> </w:t>
      </w:r>
    </w:p>
    <w:p>
      <w:pPr>
        <w:keepNext w:val="0"/>
        <w:keepLines w:val="0"/>
        <w:pageBreakBefore w:val="0"/>
        <w:widowControl w:val="0"/>
        <w:numPr>
          <w:ilvl w:val="0"/>
          <w:numId w:val="1"/>
        </w:numPr>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考试目标：</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（一）</w:t>
      </w:r>
      <w:r>
        <w:rPr>
          <w:rFonts w:hint="eastAsia" w:ascii="仿宋" w:hAnsi="仿宋" w:eastAsia="仿宋" w:cs="仿宋"/>
          <w:sz w:val="28"/>
          <w:szCs w:val="28"/>
          <w:lang w:val="en-US" w:eastAsia="zh-CN"/>
        </w:rPr>
        <w:t>天然药物化学部分</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掌握各类型天然化合物的主要生物合成途径、结构特点、理化性质、提取分离和结构鉴定的一般方法，并能够牢记一些有代表性生物活性及临床应用的化合物的结构、来源和相关活性等。</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w:t>
      </w:r>
      <w:r>
        <w:rPr>
          <w:rFonts w:hint="eastAsia" w:ascii="仿宋" w:hAnsi="仿宋" w:eastAsia="仿宋" w:cs="仿宋"/>
          <w:sz w:val="28"/>
          <w:szCs w:val="28"/>
        </w:rPr>
        <w:t>理解各类型天然化合物提取分离和结构鉴定</w:t>
      </w:r>
      <w:r>
        <w:rPr>
          <w:rFonts w:hint="eastAsia" w:ascii="仿宋" w:hAnsi="仿宋" w:eastAsia="仿宋" w:cs="仿宋"/>
          <w:sz w:val="28"/>
          <w:szCs w:val="28"/>
          <w:lang w:val="en-US" w:eastAsia="zh-CN"/>
        </w:rPr>
        <w:t>的理论和方法。</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运用天然化合物提取分离和结构鉴定</w:t>
      </w:r>
      <w:r>
        <w:rPr>
          <w:rFonts w:hint="eastAsia" w:ascii="仿宋" w:hAnsi="仿宋" w:eastAsia="仿宋" w:cs="仿宋"/>
          <w:sz w:val="28"/>
          <w:szCs w:val="28"/>
          <w:lang w:val="en-US" w:eastAsia="zh-CN"/>
        </w:rPr>
        <w:t>的理论和方法</w:t>
      </w:r>
      <w:r>
        <w:rPr>
          <w:rFonts w:hint="eastAsia" w:ascii="仿宋" w:hAnsi="仿宋" w:eastAsia="仿宋" w:cs="仿宋"/>
          <w:sz w:val="28"/>
          <w:szCs w:val="28"/>
        </w:rPr>
        <w:t>来分析和解决</w:t>
      </w:r>
      <w:r>
        <w:rPr>
          <w:rFonts w:hint="eastAsia" w:ascii="仿宋" w:hAnsi="仿宋" w:eastAsia="仿宋" w:cs="仿宋"/>
          <w:sz w:val="28"/>
          <w:szCs w:val="28"/>
          <w:lang w:val="en-US" w:eastAsia="zh-CN"/>
        </w:rPr>
        <w:t>天然药物化学中实际</w:t>
      </w:r>
      <w:r>
        <w:rPr>
          <w:rFonts w:hint="eastAsia" w:ascii="仿宋" w:hAnsi="仿宋" w:eastAsia="仿宋" w:cs="仿宋"/>
          <w:sz w:val="28"/>
          <w:szCs w:val="28"/>
        </w:rPr>
        <w:t>问题。</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二</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药物化学部分</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1.掌握药物研究的方法、技术、常用药物的化学结构、理化性质、合成路线、药物在体内作用的原理及代谢过程，为研究新药物和合理使用化学药物提供理论基础。</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2.理解各类型药物制备的基本方法和研究技巧的理论和方法。</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运用</w:t>
      </w:r>
      <w:r>
        <w:rPr>
          <w:rFonts w:hint="eastAsia" w:ascii="仿宋" w:hAnsi="仿宋" w:eastAsia="仿宋" w:cs="仿宋"/>
          <w:sz w:val="28"/>
          <w:szCs w:val="28"/>
          <w:lang w:val="en-US" w:eastAsia="zh-CN"/>
        </w:rPr>
        <w:t>药物制备的基本方法和研究技巧的理论和方法</w:t>
      </w:r>
      <w:r>
        <w:rPr>
          <w:rFonts w:hint="eastAsia" w:ascii="仿宋" w:hAnsi="仿宋" w:eastAsia="仿宋" w:cs="仿宋"/>
          <w:sz w:val="28"/>
          <w:szCs w:val="28"/>
        </w:rPr>
        <w:t>来分析和解决</w:t>
      </w:r>
      <w:r>
        <w:rPr>
          <w:rFonts w:hint="eastAsia" w:ascii="仿宋" w:hAnsi="仿宋" w:eastAsia="仿宋" w:cs="仿宋"/>
          <w:sz w:val="28"/>
          <w:szCs w:val="28"/>
          <w:lang w:val="en-US" w:eastAsia="zh-CN"/>
        </w:rPr>
        <w:t>药物化学中实际</w:t>
      </w:r>
      <w:r>
        <w:rPr>
          <w:rFonts w:hint="eastAsia" w:ascii="仿宋" w:hAnsi="仿宋" w:eastAsia="仿宋" w:cs="仿宋"/>
          <w:sz w:val="28"/>
          <w:szCs w:val="28"/>
        </w:rPr>
        <w:t>问题。</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三、</w:t>
      </w:r>
      <w:r>
        <w:rPr>
          <w:rFonts w:hint="eastAsia" w:ascii="仿宋" w:hAnsi="仿宋" w:eastAsia="仿宋" w:cs="仿宋"/>
          <w:sz w:val="28"/>
          <w:szCs w:val="28"/>
        </w:rPr>
        <w:t>考试</w:t>
      </w:r>
      <w:r>
        <w:rPr>
          <w:rFonts w:hint="eastAsia" w:ascii="仿宋" w:hAnsi="仿宋" w:eastAsia="仿宋" w:cs="仿宋"/>
          <w:sz w:val="28"/>
          <w:szCs w:val="28"/>
          <w:lang w:eastAsia="zh-CN"/>
        </w:rPr>
        <w:t>范围</w:t>
      </w:r>
      <w:r>
        <w:rPr>
          <w:rFonts w:hint="eastAsia" w:ascii="仿宋" w:hAnsi="仿宋" w:eastAsia="仿宋" w:cs="仿宋"/>
          <w:sz w:val="28"/>
          <w:szCs w:val="28"/>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A.</w:t>
      </w:r>
      <w:r>
        <w:rPr>
          <w:rFonts w:hint="eastAsia" w:ascii="Times New Roman" w:hAnsi="Times New Roman" w:eastAsia="仿宋" w:cs="Times New Roman"/>
          <w:sz w:val="28"/>
          <w:szCs w:val="28"/>
          <w:lang w:val="en-US" w:eastAsia="zh-CN"/>
        </w:rPr>
        <w:t xml:space="preserve"> </w:t>
      </w:r>
      <w:r>
        <w:rPr>
          <w:rFonts w:hint="default" w:ascii="Times New Roman" w:hAnsi="Times New Roman" w:eastAsia="仿宋" w:cs="Times New Roman"/>
          <w:sz w:val="28"/>
          <w:szCs w:val="28"/>
          <w:lang w:val="en-US" w:eastAsia="zh-CN"/>
        </w:rPr>
        <w:t>天然药物化学部分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(一)绪论</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1.天然药物化学的发展简史</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2.天然药物化学的定义及研究内容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3.天然药物化学的发展趋势</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(二)天然产物的主要生物合成途径</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1.</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植物的代谢与产物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2.</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主要的生物合成途径</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3.</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植物化学分类</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(三)提取分离方法</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1.</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天然产物提取分离的方法设计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2.</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天然产物的提取技术与方法</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3.</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天然产物的分离技术与方法</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(四)天然产物结构研究技术与方法</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1.</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天然产物结构研究的一般程序</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2.</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天然产物结构研究中的主要波谱技术</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(五)糖类化合物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1.</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单糖的立体化学</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2. 糖类化合物的分类</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3.糖的化学性质</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4.苷键的裂解</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5.糖的提取分离方法</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6.糖的NMR性质</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7.糖链的结构测定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(六)苯丙素类化合物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1.概述</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2.简单苯丙素类化合物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3.香豆素类化合物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4.木脂素类化合物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(七)黄酮类化合物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1.黄酮类化合物的结构与分类</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2.黄酮类化合物的理化性质</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3.黄酮类化合物的提取和分离</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4. 黄酮类化合物的检识与结构测定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(八)醌类化合物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1.醌类化合物的结构类型</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2.醌类化合物的理化性质</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3.醌类化合物的提取分离</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4.醌类化合物的结构测定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(九)萜类和挥发油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1. 概述</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2.萜类化合物的分类</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3.萜类化合物的理化性质</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4.萜类化合物的提取与分离</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5. 萜类化合物的结构研究</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6.挥发油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(十)三萜及其苷类化合物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结构与分类</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三萜及其苷类化合物的理化性质</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三萜及其苷类化合物的提取分离方法</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三萜类化合物的结构鉴定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(十一)甾体及其苷类化合物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甾类的结构分类和生物合成途径</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强心苷类化合物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甾体皂苷</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其他甾类化合物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(十二)生物碱</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概述</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生物碱的生源及分类</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生物碱的理化性质</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生物碱的提取分离方法</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生物碱的结构鉴定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(十三)  海洋天然药物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概述</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海洋天然产物的结构类型</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海洋药物的生物活性</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海洋药物的研究实例</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(十四)天然抗生素类化合物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概述</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天然抗生素类化合物的分类</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天然抗生素类化合物的提取分离</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(十五) 天然药物的发现及研发</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概述</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天然候选药物的发现</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新药研发的一般程序</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 w:hAnsi="仿宋" w:eastAsia="仿宋" w:cs="仿宋"/>
          <w:sz w:val="28"/>
          <w:szCs w:val="28"/>
          <w:lang w:val="en-US" w:eastAsia="zh-CN"/>
        </w:rPr>
      </w:pPr>
      <w:r>
        <w:rPr>
          <w:rFonts w:hint="eastAsia" w:eastAsia="仿宋" w:cs="Times New Roman"/>
          <w:sz w:val="28"/>
          <w:szCs w:val="28"/>
          <w:lang w:val="en-US" w:eastAsia="zh-CN"/>
        </w:rPr>
        <w:t>B</w:t>
      </w:r>
      <w:r>
        <w:rPr>
          <w:rFonts w:hint="default" w:ascii="Times New Roman" w:hAnsi="Times New Roman" w:eastAsia="仿宋" w:cs="Times New Roman"/>
          <w:sz w:val="28"/>
          <w:szCs w:val="28"/>
          <w:lang w:val="en-US" w:eastAsia="zh-CN"/>
        </w:rPr>
        <w:t>.</w:t>
      </w:r>
      <w:r>
        <w:rPr>
          <w:rFonts w:hint="eastAsia" w:ascii="Times New Roman" w:hAnsi="Times New Roman" w:eastAsia="仿宋" w:cs="Times New Roman"/>
          <w:sz w:val="28"/>
          <w:szCs w:val="28"/>
          <w:lang w:val="en-US" w:eastAsia="zh-CN"/>
        </w:rPr>
        <w:t xml:space="preserve"> </w:t>
      </w:r>
      <w:r>
        <w:rPr>
          <w:rFonts w:hint="eastAsia" w:ascii="仿宋" w:hAnsi="仿宋" w:eastAsia="仿宋" w:cs="仿宋"/>
          <w:sz w:val="28"/>
          <w:szCs w:val="28"/>
          <w:lang w:val="en-US" w:eastAsia="zh-CN"/>
        </w:rPr>
        <w:t>药物化学部分</w:t>
      </w:r>
    </w:p>
    <w:p>
      <w:pPr>
        <w:keepNext w:val="0"/>
        <w:keepLines w:val="0"/>
        <w:pageBreakBefore w:val="0"/>
        <w:widowControl w:val="0"/>
        <w:kinsoku/>
        <w:wordWrap/>
        <w:overflowPunct/>
        <w:topLinePunct w:val="0"/>
        <w:autoSpaceDE/>
        <w:autoSpaceDN/>
        <w:bidi w:val="0"/>
        <w:adjustRightInd/>
        <w:snapToGrid/>
        <w:ind w:left="559" w:leftChars="266" w:firstLine="0" w:firstLine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(一)绪论</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1.药物及药物化学的发展历史，药物化学的基本知识、基本概念及命名原则。</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2.各类药物的分类、化学结构及理化性质，正确写出药物的名称、中英文化学名称和结构式。</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(二)中枢神经系统药物</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1.中枢神经系统药物的分类。</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2.药物的结构特征、基本药效关系。</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3.不同药物的作用原理及药物的化学制备过程及药物稳定性的化学基础。</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(三)外周神经系统药物</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1.外周神经系统药物的分类，作用原理及药效关系。</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2.药物与神经化学递质、受体、酶抑制剂的概念与新药的研制。</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(四)循环系统药物</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1.循环系统药物的分类，药物作用机制和化学设计原则。</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2.各种作用于离子通道的代表药物及构效关系。</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3.受体、酶、离子通道和核酸为药物作用靶点进行包括各种酶抑制剂设计、研究开发的原理和方法。</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(五)消化系统药物</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1.消化系统药物的分类。</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2.药物的结构改造、作用原理、构效关系、化学合成及研究进展。</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(六)解热镇痛药和非甾体抗炎药</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1.解热镇痛药和非甾体抗炎药的分类。</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2.药物的构效关系、化学合成及研究进展。</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(七)抗肿瘤药</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1.抗肿瘤药的分类。</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2.以DNA为作用靶和有丝分裂过程为作用靶进行抗肿瘤药物研究的原理、方法及其进展。</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3.植物有效成分的提取、结构修饰、构效关系、化学合成及新药研究的原理。</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(八)抗生素</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1.抗生素的分类。</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2.β-内酰胺抗生素、四环素类、氨基糖苷类、大环内酯及氯霉素的结构特征、构效关系、研究过程及化学合成。</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(九)化学治疗药</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1.化学治疗药的分类。</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2.各类药物的作用机制、结构特征、代谢途径、构效关系、研究过程及化学合成。</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(十)利尿药及合成降血糖药物</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1.利尿药及合成降血糖药物的作用机制、结构特征、化学合成。</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(十一)激素</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1.激素类的分类和内分泌激素的产生及作用。</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2.各类药物的命名、生物合成途径、结构特征、构效关系及化学合成。</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(十二)维生素</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1.脂溶性和水溶性维生素的化学结构特征。</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2.各类药物的命名、作用机制、体内生物合成及转化过程、构效关系及化学合成。</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(十三)新药设计与开发</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1.关注新药设计及研究的各种创新性思路、新概念。</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2.新药发现的基本途径、药物的发展历史及发展方向。</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3.新药设计的基本原理、方法。</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四、主要参考书目</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 w:hAnsi="仿宋" w:eastAsia="仿宋" w:cs="仿宋"/>
          <w:sz w:val="28"/>
          <w:szCs w:val="28"/>
          <w:lang w:eastAsia="zh-CN"/>
        </w:rPr>
      </w:pPr>
      <w:r>
        <w:rPr>
          <w:rFonts w:hint="eastAsia" w:ascii="仿宋" w:hAnsi="仿宋" w:eastAsia="仿宋" w:cs="仿宋"/>
          <w:sz w:val="28"/>
          <w:szCs w:val="28"/>
          <w:lang w:val="en-US" w:eastAsia="zh-CN"/>
        </w:rPr>
        <w:t>1.</w:t>
      </w:r>
      <w:r>
        <w:rPr>
          <w:rFonts w:hint="default" w:ascii="仿宋" w:hAnsi="仿宋" w:eastAsia="仿宋" w:cs="仿宋"/>
          <w:sz w:val="28"/>
          <w:szCs w:val="28"/>
        </w:rPr>
        <w:t>裴月湖、娄红祥</w:t>
      </w:r>
      <w:r>
        <w:rPr>
          <w:rFonts w:hint="eastAsia" w:ascii="仿宋" w:hAnsi="仿宋" w:eastAsia="仿宋" w:cs="仿宋"/>
          <w:sz w:val="28"/>
          <w:szCs w:val="28"/>
          <w:lang w:val="en-US" w:eastAsia="zh-CN"/>
        </w:rPr>
        <w:t>主编：</w:t>
      </w:r>
      <w:r>
        <w:rPr>
          <w:rFonts w:hint="default" w:ascii="仿宋" w:hAnsi="仿宋" w:eastAsia="仿宋" w:cs="仿宋"/>
          <w:sz w:val="28"/>
          <w:szCs w:val="28"/>
        </w:rPr>
        <w:t>《天然药物化学》（第</w:t>
      </w:r>
      <w:r>
        <w:rPr>
          <w:rFonts w:hint="default" w:ascii="仿宋" w:hAnsi="仿宋" w:eastAsia="仿宋" w:cs="仿宋"/>
          <w:sz w:val="28"/>
          <w:szCs w:val="28"/>
          <w:lang w:val="en-US" w:eastAsia="zh-CN"/>
        </w:rPr>
        <w:t>七</w:t>
      </w:r>
      <w:r>
        <w:rPr>
          <w:rFonts w:hint="default" w:ascii="仿宋" w:hAnsi="仿宋" w:eastAsia="仿宋" w:cs="仿宋"/>
          <w:sz w:val="28"/>
          <w:szCs w:val="28"/>
        </w:rPr>
        <w:t>版）</w:t>
      </w:r>
      <w:r>
        <w:rPr>
          <w:rFonts w:hint="default" w:ascii="仿宋" w:hAnsi="仿宋" w:eastAsia="仿宋" w:cs="仿宋"/>
          <w:sz w:val="28"/>
          <w:szCs w:val="28"/>
          <w:lang w:eastAsia="zh-CN"/>
        </w:rPr>
        <w:t>，</w:t>
      </w:r>
      <w:r>
        <w:rPr>
          <w:rFonts w:hint="default" w:ascii="仿宋" w:hAnsi="仿宋" w:eastAsia="仿宋" w:cs="仿宋"/>
          <w:sz w:val="28"/>
          <w:szCs w:val="28"/>
        </w:rPr>
        <w:t>人民卫生出版社，201</w:t>
      </w:r>
      <w:r>
        <w:rPr>
          <w:rFonts w:hint="default" w:ascii="仿宋" w:hAnsi="仿宋" w:eastAsia="仿宋" w:cs="仿宋"/>
          <w:sz w:val="28"/>
          <w:szCs w:val="28"/>
          <w:lang w:val="en-US" w:eastAsia="zh-CN"/>
        </w:rPr>
        <w:t>6</w:t>
      </w:r>
      <w:r>
        <w:rPr>
          <w:rFonts w:hint="default" w:ascii="仿宋" w:hAnsi="仿宋" w:eastAsia="仿宋" w:cs="仿宋"/>
          <w:sz w:val="28"/>
          <w:szCs w:val="28"/>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w:t>
      </w:r>
      <w:r>
        <w:rPr>
          <w:rFonts w:hint="default" w:ascii="仿宋" w:hAnsi="仿宋" w:eastAsia="仿宋" w:cs="仿宋"/>
          <w:sz w:val="28"/>
          <w:szCs w:val="28"/>
          <w:lang w:val="en-US" w:eastAsia="zh-CN"/>
        </w:rPr>
        <w:t>尤启冬</w:t>
      </w:r>
      <w:r>
        <w:rPr>
          <w:rFonts w:hint="eastAsia" w:ascii="仿宋" w:hAnsi="仿宋" w:eastAsia="仿宋" w:cs="仿宋"/>
          <w:sz w:val="28"/>
          <w:szCs w:val="28"/>
          <w:lang w:val="en-US" w:eastAsia="zh-CN"/>
        </w:rPr>
        <w:t>主编：</w:t>
      </w:r>
      <w:r>
        <w:rPr>
          <w:rFonts w:hint="default" w:ascii="仿宋" w:hAnsi="仿宋" w:eastAsia="仿宋" w:cs="仿宋"/>
          <w:sz w:val="28"/>
          <w:szCs w:val="28"/>
          <w:lang w:val="en-US" w:eastAsia="zh-CN"/>
        </w:rPr>
        <w:t>《药物化学》（第八版）人民卫生出版社，2016</w:t>
      </w:r>
      <w:r>
        <w:rPr>
          <w:rFonts w:hint="eastAsia" w:ascii="仿宋" w:hAnsi="仿宋" w:eastAsia="仿宋" w:cs="仿宋"/>
          <w:sz w:val="28"/>
          <w:szCs w:val="28"/>
          <w:lang w:val="en-US"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p>
    <w:p>
      <w:pPr>
        <w:widowControl/>
        <w:spacing w:before="100" w:beforeAutospacing="1" w:after="100" w:afterAutospacing="1"/>
        <w:jc w:val="left"/>
        <w:rPr>
          <w:rFonts w:ascii="Verdana" w:hAnsi="Verdana" w:cs="宋体"/>
          <w:kern w:val="0"/>
          <w:sz w:val="18"/>
          <w:szCs w:val="18"/>
        </w:rPr>
      </w:pPr>
    </w:p>
    <w:p>
      <w:pPr>
        <w:widowControl/>
        <w:spacing w:before="100" w:beforeAutospacing="1" w:after="100" w:afterAutospacing="1"/>
        <w:jc w:val="left"/>
        <w:rPr>
          <w:rFonts w:ascii="Verdana" w:hAnsi="Verdana" w:cs="宋体"/>
          <w:kern w:val="0"/>
          <w:sz w:val="18"/>
          <w:szCs w:val="18"/>
        </w:rPr>
      </w:pPr>
    </w:p>
    <w:p>
      <w:pPr>
        <w:widowControl/>
        <w:spacing w:before="100" w:beforeAutospacing="1" w:after="100" w:afterAutospacing="1"/>
        <w:jc w:val="left"/>
        <w:rPr>
          <w:rFonts w:ascii="Verdana" w:hAnsi="Verdana" w:cs="宋体"/>
          <w:kern w:val="0"/>
          <w:sz w:val="18"/>
          <w:szCs w:val="18"/>
        </w:r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1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9AF1BE"/>
    <w:multiLevelType w:val="singleLevel"/>
    <w:tmpl w:val="B09AF1B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8D6"/>
    <w:rsid w:val="000004FA"/>
    <w:rsid w:val="000618D6"/>
    <w:rsid w:val="000706BA"/>
    <w:rsid w:val="00270FE2"/>
    <w:rsid w:val="00330E58"/>
    <w:rsid w:val="0037423B"/>
    <w:rsid w:val="00637B77"/>
    <w:rsid w:val="007E44BE"/>
    <w:rsid w:val="008A7612"/>
    <w:rsid w:val="009418E3"/>
    <w:rsid w:val="009764CF"/>
    <w:rsid w:val="009E5A96"/>
    <w:rsid w:val="00A17AA7"/>
    <w:rsid w:val="07181DEC"/>
    <w:rsid w:val="153F4FD4"/>
    <w:rsid w:val="17C13738"/>
    <w:rsid w:val="1ACC6222"/>
    <w:rsid w:val="1D265AB4"/>
    <w:rsid w:val="422C70A3"/>
    <w:rsid w:val="47C84A67"/>
    <w:rsid w:val="48087D94"/>
    <w:rsid w:val="5D911BB9"/>
    <w:rsid w:val="5E64359A"/>
    <w:rsid w:val="654F648B"/>
    <w:rsid w:val="702F1AEC"/>
    <w:rsid w:val="72753BCA"/>
    <w:rsid w:val="755E397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4</Pages>
  <Words>232</Words>
  <Characters>1329</Characters>
  <Lines>11</Lines>
  <Paragraphs>3</Paragraphs>
  <TotalTime>9</TotalTime>
  <ScaleCrop>false</ScaleCrop>
  <LinksUpToDate>false</LinksUpToDate>
  <CharactersWithSpaces>1558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2017-07-13T01:41:00Z</dcterms:created>
  <dc:creator>1 1</dc:creator>
  <cp:lastModifiedBy>陈江</cp:lastModifiedBy>
  <dcterms:modified xsi:type="dcterms:W3CDTF">2021-05-30T03:17:57Z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599A980EF2FE4537ACAD3B33CA70116D</vt:lpwstr>
  </property>
</Properties>
</file>